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ANEXO - MODELO PARA SUBMISSÃO</w:t>
      </w:r>
    </w:p>
    <w:p w:rsidR="00000000" w:rsidDel="00000000" w:rsidP="00000000" w:rsidRDefault="00000000" w:rsidRPr="00000000" w14:paraId="00000004">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TÍTULO: subtítulo (se houver)</w:t>
      </w:r>
      <w:r w:rsidDel="00000000" w:rsidR="00000000" w:rsidRPr="00000000">
        <w:rPr>
          <w:rFonts w:ascii="Times New Roman" w:cs="Times New Roman" w:eastAsia="Times New Roman" w:hAnsi="Times New Roman"/>
          <w:b w:val="1"/>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06">
      <w:pPr>
        <w:spacing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(espaço de 1 [uma] linha entre título e nome do[s] autor[es])</w:t>
      </w:r>
    </w:p>
    <w:p w:rsidR="00000000" w:rsidDel="00000000" w:rsidP="00000000" w:rsidRDefault="00000000" w:rsidRPr="00000000" w14:paraId="00000007">
      <w:pPr>
        <w:spacing w:line="36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Nome do(a) autor(a)</w:t>
      </w:r>
      <w:r w:rsidDel="00000000" w:rsidR="00000000" w:rsidRPr="00000000">
        <w:rPr>
          <w:rFonts w:ascii="Times New Roman" w:cs="Times New Roman" w:eastAsia="Times New Roman" w:hAnsi="Times New Roman"/>
          <w:i w:val="1"/>
          <w:sz w:val="24"/>
          <w:szCs w:val="24"/>
          <w:vertAlign w:val="superscript"/>
        </w:rPr>
        <w:footnoteReference w:customMarkFollows="0" w:id="1"/>
      </w:r>
      <w:r w:rsidDel="00000000" w:rsidR="00000000" w:rsidRPr="00000000">
        <w:rPr>
          <w:rFonts w:ascii="Times New Roman" w:cs="Times New Roman" w:eastAsia="Times New Roman" w:hAnsi="Times New Roman"/>
          <w:i w:val="1"/>
          <w:sz w:val="24"/>
          <w:szCs w:val="24"/>
          <w:vertAlign w:val="superscript"/>
        </w:rPr>
        <w:footnoteReference w:customMarkFollows="0" w:id="2"/>
      </w:r>
      <w:r w:rsidDel="00000000" w:rsidR="00000000" w:rsidRPr="00000000">
        <w:rPr>
          <w:rtl w:val="0"/>
        </w:rPr>
      </w:r>
    </w:p>
    <w:p w:rsidR="00000000" w:rsidDel="00000000" w:rsidP="00000000" w:rsidRDefault="00000000" w:rsidRPr="00000000" w14:paraId="00000008">
      <w:pPr>
        <w:spacing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(espaço de 1 [uma] linha entre nome do[s] autor[es] e resumo)</w:t>
      </w:r>
    </w:p>
    <w:p w:rsidR="00000000" w:rsidDel="00000000" w:rsidP="00000000" w:rsidRDefault="00000000" w:rsidRPr="00000000" w14:paraId="00000009">
      <w:pPr>
        <w:spacing w:line="360"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RESUMO</w:t>
      </w:r>
      <w:r w:rsidDel="00000000" w:rsidR="00000000" w:rsidRPr="00000000">
        <w:rPr>
          <w:rtl w:val="0"/>
        </w:rPr>
      </w:r>
    </w:p>
    <w:p w:rsidR="00000000" w:rsidDel="00000000" w:rsidP="00000000" w:rsidRDefault="00000000" w:rsidRPr="00000000" w14:paraId="0000000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Texto imediatamente abaixo da indicação “RESUMO”, contendo até 400 palavras, indicando de modo breve os objetivos, problema, hipótese, metodologia utilizada e conclusão que responda à problemática apresentada.</w:t>
      </w:r>
    </w:p>
    <w:p w:rsidR="00000000" w:rsidDel="00000000" w:rsidP="00000000" w:rsidRDefault="00000000" w:rsidRPr="00000000" w14:paraId="0000000C">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w:t>
      </w:r>
      <w:r w:rsidDel="00000000" w:rsidR="00000000" w:rsidRPr="00000000">
        <w:rPr>
          <w:rtl w:val="0"/>
        </w:rPr>
      </w:r>
    </w:p>
    <w:p w:rsidR="00000000" w:rsidDel="00000000" w:rsidP="00000000" w:rsidRDefault="00000000" w:rsidRPr="00000000" w14:paraId="0000000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Imediatamente abaixo do resumo, no mínimo de 3 (três) e máximo de 5 (cinco) palavras-chave, separadas por ponto e vírgula.</w:t>
      </w:r>
    </w:p>
    <w:p w:rsidR="00000000" w:rsidDel="00000000" w:rsidP="00000000" w:rsidRDefault="00000000" w:rsidRPr="00000000" w14:paraId="0000000F">
      <w:pPr>
        <w:spacing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(espaço de 1 [uma] linha entre as palavras chaves e introdução)</w:t>
      </w:r>
    </w:p>
    <w:p w:rsidR="00000000" w:rsidDel="00000000" w:rsidP="00000000" w:rsidRDefault="00000000" w:rsidRPr="00000000" w14:paraId="00000010">
      <w:pPr>
        <w:spacing w:line="360"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1">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INTRODUÇÃO</w:t>
      </w:r>
    </w:p>
    <w:p w:rsidR="00000000" w:rsidDel="00000000" w:rsidP="00000000" w:rsidRDefault="00000000" w:rsidRPr="00000000" w14:paraId="00000012">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Introdução da temática, contextualização breve do problema abordado, objetivos e como será a abordagem utilizada na pesquisa.</w:t>
      </w:r>
      <w:r w:rsidDel="00000000" w:rsidR="00000000" w:rsidRPr="00000000">
        <w:rPr>
          <w:rtl w:val="0"/>
        </w:rPr>
      </w:r>
    </w:p>
    <w:p w:rsidR="00000000" w:rsidDel="00000000" w:rsidP="00000000" w:rsidRDefault="00000000" w:rsidRPr="00000000" w14:paraId="00000013">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DESENVOLVIMENTO</w:t>
      </w:r>
    </w:p>
    <w:p w:rsidR="00000000" w:rsidDel="00000000" w:rsidP="00000000" w:rsidRDefault="00000000" w:rsidRPr="00000000" w14:paraId="0000001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Distribuído em tópicos, deve elaborar e aprofundar a tese da pesquisa nesta seção.</w:t>
      </w:r>
    </w:p>
    <w:p w:rsidR="00000000" w:rsidDel="00000000" w:rsidP="00000000" w:rsidRDefault="00000000" w:rsidRPr="00000000" w14:paraId="0000001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Exemplo de citação contendo mais de três linhas:</w:t>
      </w:r>
    </w:p>
    <w:p w:rsidR="00000000" w:rsidDel="00000000" w:rsidP="00000000" w:rsidRDefault="00000000" w:rsidRPr="00000000" w14:paraId="00000017">
      <w:pPr>
        <w:ind w:left="22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A prática do neoliberalismo submete as funções sociais do Estado ao cálculo econômico: uma prática não usual, que introduziu critérios de viabilidade nos serviços públicos, como se eles fossem empresas privadas, para ordenar os campos de educação, saúde, seguridade social, emprego, pesquisa científica, serviços públicos e segurança sob uma perspectiva econômica. (BAUMAN; BORDONI, 2016, p. 28).</w:t>
      </w:r>
      <w:r w:rsidDel="00000000" w:rsidR="00000000" w:rsidRPr="00000000">
        <w:rPr>
          <w:rFonts w:ascii="Times New Roman" w:cs="Times New Roman" w:eastAsia="Times New Roman" w:hAnsi="Times New Roman"/>
          <w:sz w:val="20"/>
          <w:szCs w:val="20"/>
          <w:vertAlign w:val="superscript"/>
        </w:rPr>
        <w:footnoteReference w:customMarkFollows="0" w:id="3"/>
      </w:r>
      <w:r w:rsidDel="00000000" w:rsidR="00000000" w:rsidRPr="00000000">
        <w:rPr>
          <w:rtl w:val="0"/>
        </w:rPr>
      </w:r>
    </w:p>
    <w:p w:rsidR="00000000" w:rsidDel="00000000" w:rsidP="00000000" w:rsidRDefault="00000000" w:rsidRPr="00000000" w14:paraId="00000018">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CONSIDERAÇÕES FINAIS</w:t>
      </w:r>
    </w:p>
    <w:p w:rsidR="00000000" w:rsidDel="00000000" w:rsidP="00000000" w:rsidRDefault="00000000" w:rsidRPr="00000000" w14:paraId="0000001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Conclusões e resultados da pesquisa, dando fechamento ao artigo.</w:t>
      </w:r>
    </w:p>
    <w:p w:rsidR="00000000" w:rsidDel="00000000" w:rsidP="00000000" w:rsidRDefault="00000000" w:rsidRPr="00000000" w14:paraId="0000001B">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 REFERÊNCIAS</w:t>
      </w:r>
      <w:r w:rsidDel="00000000" w:rsidR="00000000" w:rsidRPr="00000000">
        <w:rPr>
          <w:rtl w:val="0"/>
        </w:rPr>
      </w:r>
    </w:p>
    <w:p w:rsidR="00000000" w:rsidDel="00000000" w:rsidP="00000000" w:rsidRDefault="00000000" w:rsidRPr="00000000" w14:paraId="0000001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REVJUR toma como base para suas normas a NBR 6023 (2018), deste modo abaixo segue exemplos de como devem estar dispostas as referências dos artigos submetidos (sempre em ordem alfabética e cronológica).</w:t>
      </w:r>
    </w:p>
    <w:p w:rsidR="00000000" w:rsidDel="00000000" w:rsidP="00000000" w:rsidRDefault="00000000" w:rsidRPr="00000000" w14:paraId="0000001E">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numPr>
          <w:ilvl w:val="0"/>
          <w:numId w:val="1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 autor</w:t>
      </w:r>
    </w:p>
    <w:p w:rsidR="00000000" w:rsidDel="00000000" w:rsidP="00000000" w:rsidRDefault="00000000" w:rsidRPr="00000000" w14:paraId="0000002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BOFF, Leonardo. </w:t>
      </w:r>
      <w:r w:rsidDel="00000000" w:rsidR="00000000" w:rsidRPr="00000000">
        <w:rPr>
          <w:rFonts w:ascii="Times New Roman" w:cs="Times New Roman" w:eastAsia="Times New Roman" w:hAnsi="Times New Roman"/>
          <w:b w:val="1"/>
          <w:sz w:val="24"/>
          <w:szCs w:val="24"/>
          <w:rtl w:val="0"/>
        </w:rPr>
        <w:t xml:space="preserve">Ecologia, mundialização, espiritualidade</w:t>
      </w:r>
      <w:r w:rsidDel="00000000" w:rsidR="00000000" w:rsidRPr="00000000">
        <w:rPr>
          <w:rFonts w:ascii="Times New Roman" w:cs="Times New Roman" w:eastAsia="Times New Roman" w:hAnsi="Times New Roman"/>
          <w:sz w:val="24"/>
          <w:szCs w:val="24"/>
          <w:rtl w:val="0"/>
        </w:rPr>
        <w:t xml:space="preserve">: a emergência de um novo paradigma. 3. ed. São Paulo: Ática, 2000.</w:t>
      </w:r>
    </w:p>
    <w:p w:rsidR="00000000" w:rsidDel="00000000" w:rsidP="00000000" w:rsidRDefault="00000000" w:rsidRPr="00000000" w14:paraId="0000002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Dois a três autores</w:t>
      </w:r>
    </w:p>
    <w:p w:rsidR="00000000" w:rsidDel="00000000" w:rsidP="00000000" w:rsidRDefault="00000000" w:rsidRPr="00000000" w14:paraId="0000002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GIOVANNI, José Ruy; BONJORNO, José Roberto; GIOVANNI JÚNIOR, José Ruy. </w:t>
      </w:r>
      <w:r w:rsidDel="00000000" w:rsidR="00000000" w:rsidRPr="00000000">
        <w:rPr>
          <w:rFonts w:ascii="Times New Roman" w:cs="Times New Roman" w:eastAsia="Times New Roman" w:hAnsi="Times New Roman"/>
          <w:b w:val="1"/>
          <w:sz w:val="24"/>
          <w:szCs w:val="24"/>
          <w:rtl w:val="0"/>
        </w:rPr>
        <w:t xml:space="preserve">Matemática fundamental</w:t>
      </w:r>
      <w:r w:rsidDel="00000000" w:rsidR="00000000" w:rsidRPr="00000000">
        <w:rPr>
          <w:rFonts w:ascii="Times New Roman" w:cs="Times New Roman" w:eastAsia="Times New Roman" w:hAnsi="Times New Roman"/>
          <w:sz w:val="24"/>
          <w:szCs w:val="24"/>
          <w:rtl w:val="0"/>
        </w:rPr>
        <w:t xml:space="preserve">: uma nova abordagem. São Paulo: FTD, 2002.</w:t>
      </w:r>
    </w:p>
    <w:p w:rsidR="00000000" w:rsidDel="00000000" w:rsidP="00000000" w:rsidRDefault="00000000" w:rsidRPr="00000000" w14:paraId="0000002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numPr>
          <w:ilvl w:val="0"/>
          <w:numId w:val="8"/>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Mais de três autores</w:t>
      </w:r>
    </w:p>
    <w:p w:rsidR="00000000" w:rsidDel="00000000" w:rsidP="00000000" w:rsidRDefault="00000000" w:rsidRPr="00000000" w14:paraId="0000002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LEVINE, David M. et al. </w:t>
      </w:r>
      <w:r w:rsidDel="00000000" w:rsidR="00000000" w:rsidRPr="00000000">
        <w:rPr>
          <w:rFonts w:ascii="Times New Roman" w:cs="Times New Roman" w:eastAsia="Times New Roman" w:hAnsi="Times New Roman"/>
          <w:b w:val="1"/>
          <w:sz w:val="24"/>
          <w:szCs w:val="24"/>
          <w:rtl w:val="0"/>
        </w:rPr>
        <w:t xml:space="preserve">Estatística teoria e aplicações usando o Microsoft Excel em português</w:t>
      </w:r>
      <w:r w:rsidDel="00000000" w:rsidR="00000000" w:rsidRPr="00000000">
        <w:rPr>
          <w:rFonts w:ascii="Times New Roman" w:cs="Times New Roman" w:eastAsia="Times New Roman" w:hAnsi="Times New Roman"/>
          <w:sz w:val="24"/>
          <w:szCs w:val="24"/>
          <w:rtl w:val="0"/>
        </w:rPr>
        <w:t xml:space="preserve">. 3. ed. Rio de Janeiro: LTC, 2005.</w:t>
      </w:r>
    </w:p>
    <w:p w:rsidR="00000000" w:rsidDel="00000000" w:rsidP="00000000" w:rsidRDefault="00000000" w:rsidRPr="00000000" w14:paraId="0000002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Organizador, prefaciador, coordenador etc.</w:t>
      </w:r>
    </w:p>
    <w:p w:rsidR="00000000" w:rsidDel="00000000" w:rsidP="00000000" w:rsidRDefault="00000000" w:rsidRPr="00000000" w14:paraId="0000002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CASCONI, Francisco Antonio (org.); AMORIM, José Roberto Neves (coord.). </w:t>
      </w:r>
      <w:r w:rsidDel="00000000" w:rsidR="00000000" w:rsidRPr="00000000">
        <w:rPr>
          <w:rFonts w:ascii="Times New Roman" w:cs="Times New Roman" w:eastAsia="Times New Roman" w:hAnsi="Times New Roman"/>
          <w:b w:val="1"/>
          <w:sz w:val="24"/>
          <w:szCs w:val="24"/>
          <w:rtl w:val="0"/>
        </w:rPr>
        <w:t xml:space="preserve">Locações</w:t>
      </w:r>
      <w:r w:rsidDel="00000000" w:rsidR="00000000" w:rsidRPr="00000000">
        <w:rPr>
          <w:rFonts w:ascii="Times New Roman" w:cs="Times New Roman" w:eastAsia="Times New Roman" w:hAnsi="Times New Roman"/>
          <w:sz w:val="24"/>
          <w:szCs w:val="24"/>
          <w:rtl w:val="0"/>
        </w:rPr>
        <w:t xml:space="preserve">: aspectos relevantes, aplicação do novo Código Civil. São Paulo: Método, 2004.</w:t>
      </w:r>
    </w:p>
    <w:p w:rsidR="00000000" w:rsidDel="00000000" w:rsidP="00000000" w:rsidRDefault="00000000" w:rsidRPr="00000000" w14:paraId="0000002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numPr>
          <w:ilvl w:val="0"/>
          <w:numId w:val="1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Autoria de entidades, associações etc. (pessoa jurídica)</w:t>
      </w:r>
    </w:p>
    <w:p w:rsidR="00000000" w:rsidDel="00000000" w:rsidP="00000000" w:rsidRDefault="00000000" w:rsidRPr="00000000" w14:paraId="0000002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CONFERÊNCIA NACIONAL DOS BISPOS DO BRASIL. </w:t>
      </w:r>
      <w:r w:rsidDel="00000000" w:rsidR="00000000" w:rsidRPr="00000000">
        <w:rPr>
          <w:rFonts w:ascii="Times New Roman" w:cs="Times New Roman" w:eastAsia="Times New Roman" w:hAnsi="Times New Roman"/>
          <w:b w:val="1"/>
          <w:sz w:val="24"/>
          <w:szCs w:val="24"/>
          <w:rtl w:val="0"/>
        </w:rPr>
        <w:t xml:space="preserve">Fraternidade e água</w:t>
      </w:r>
      <w:r w:rsidDel="00000000" w:rsidR="00000000" w:rsidRPr="00000000">
        <w:rPr>
          <w:rFonts w:ascii="Times New Roman" w:cs="Times New Roman" w:eastAsia="Times New Roman" w:hAnsi="Times New Roman"/>
          <w:sz w:val="24"/>
          <w:szCs w:val="24"/>
          <w:rtl w:val="0"/>
        </w:rPr>
        <w:t xml:space="preserve">: manual CF 2004. São Paulo: Salesiana, 2003.</w:t>
      </w:r>
    </w:p>
    <w:p w:rsidR="00000000" w:rsidDel="00000000" w:rsidP="00000000" w:rsidRDefault="00000000" w:rsidRPr="00000000" w14:paraId="0000002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numPr>
          <w:ilvl w:val="0"/>
          <w:numId w:val="1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responsabilidade de uma instituição governamental da administração direta, seu nome deve ser precedido pelo nome do órgão superior ou pelo nome da jurisdição.</w:t>
      </w:r>
    </w:p>
    <w:p w:rsidR="00000000" w:rsidDel="00000000" w:rsidP="00000000" w:rsidRDefault="00000000" w:rsidRPr="00000000" w14:paraId="0000002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AGÊNCIA NACIONAL DE ÁGUA (Brasil); COMPANHIA AMBIENTAL DO ESTADO DE SÃO PAULO. </w:t>
      </w:r>
      <w:r w:rsidDel="00000000" w:rsidR="00000000" w:rsidRPr="00000000">
        <w:rPr>
          <w:rFonts w:ascii="Times New Roman" w:cs="Times New Roman" w:eastAsia="Times New Roman" w:hAnsi="Times New Roman"/>
          <w:b w:val="1"/>
          <w:sz w:val="24"/>
          <w:szCs w:val="24"/>
          <w:rtl w:val="0"/>
        </w:rPr>
        <w:t xml:space="preserve">Guia nacional de coleta de preservação de amostras</w:t>
      </w:r>
      <w:r w:rsidDel="00000000" w:rsidR="00000000" w:rsidRPr="00000000">
        <w:rPr>
          <w:rFonts w:ascii="Times New Roman" w:cs="Times New Roman" w:eastAsia="Times New Roman" w:hAnsi="Times New Roman"/>
          <w:sz w:val="24"/>
          <w:szCs w:val="24"/>
          <w:rtl w:val="0"/>
        </w:rPr>
        <w:t xml:space="preserve">: água, sedimento, comunidades aquáticas e efluentes líquidos. Brasília, DF: ANA; São Paulo: CETESB, 2011. Disponível em: http://www.cetesb.sp.gpv.br/ userfles/fle/laboratorios/publicacoes/guianacional-coleta-2012.pdf. Acesso em: 17 mar. 2019.</w:t>
      </w:r>
    </w:p>
    <w:p w:rsidR="00000000" w:rsidDel="00000000" w:rsidP="00000000" w:rsidRDefault="00000000" w:rsidRPr="00000000" w14:paraId="0000003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numPr>
          <w:ilvl w:val="0"/>
          <w:numId w:val="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E-book</w:t>
      </w:r>
    </w:p>
    <w:p w:rsidR="00000000" w:rsidDel="00000000" w:rsidP="00000000" w:rsidRDefault="00000000" w:rsidRPr="00000000" w14:paraId="0000003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BAVARESCO, Agemir; BARBOSA, Evandro; ETCHEVERRY, Katia Martin (org.). </w:t>
      </w:r>
      <w:r w:rsidDel="00000000" w:rsidR="00000000" w:rsidRPr="00000000">
        <w:rPr>
          <w:rFonts w:ascii="Times New Roman" w:cs="Times New Roman" w:eastAsia="Times New Roman" w:hAnsi="Times New Roman"/>
          <w:b w:val="1"/>
          <w:sz w:val="24"/>
          <w:szCs w:val="24"/>
          <w:rtl w:val="0"/>
        </w:rPr>
        <w:t xml:space="preserve">Projetos de filosofia</w:t>
      </w:r>
      <w:r w:rsidDel="00000000" w:rsidR="00000000" w:rsidRPr="00000000">
        <w:rPr>
          <w:rFonts w:ascii="Times New Roman" w:cs="Times New Roman" w:eastAsia="Times New Roman" w:hAnsi="Times New Roman"/>
          <w:sz w:val="24"/>
          <w:szCs w:val="24"/>
          <w:rtl w:val="0"/>
        </w:rPr>
        <w:t xml:space="preserve">. Porto Alegre: EDIPUCRS, 2011. E-book (Coleção Filosofia). ISBN 978- 85-397-0073-8. Disponível em: http://ebooks.pucrs.br/edipucrs/projetosdefilosofia.pdf. Acesso em: 22 maio 2019.</w:t>
      </w:r>
    </w:p>
    <w:p w:rsidR="00000000" w:rsidDel="00000000" w:rsidP="00000000" w:rsidRDefault="00000000" w:rsidRPr="00000000" w14:paraId="0000003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numPr>
          <w:ilvl w:val="0"/>
          <w:numId w:val="10"/>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Dissertações, teses e TCC</w:t>
      </w:r>
    </w:p>
    <w:p w:rsidR="00000000" w:rsidDel="00000000" w:rsidP="00000000" w:rsidRDefault="00000000" w:rsidRPr="00000000" w14:paraId="0000003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FREIRE, Patrocínio Sólon. </w:t>
      </w:r>
      <w:r w:rsidDel="00000000" w:rsidR="00000000" w:rsidRPr="00000000">
        <w:rPr>
          <w:rFonts w:ascii="Times New Roman" w:cs="Times New Roman" w:eastAsia="Times New Roman" w:hAnsi="Times New Roman"/>
          <w:b w:val="1"/>
          <w:sz w:val="24"/>
          <w:szCs w:val="24"/>
          <w:rtl w:val="0"/>
        </w:rPr>
        <w:t xml:space="preserve">A ética renovadora como reivindicação da filosofia de Ernst Bloch</w:t>
      </w:r>
      <w:r w:rsidDel="00000000" w:rsidR="00000000" w:rsidRPr="00000000">
        <w:rPr>
          <w:rFonts w:ascii="Times New Roman" w:cs="Times New Roman" w:eastAsia="Times New Roman" w:hAnsi="Times New Roman"/>
          <w:sz w:val="24"/>
          <w:szCs w:val="24"/>
          <w:rtl w:val="0"/>
        </w:rPr>
        <w:t xml:space="preserve">. 1998. Trabalho de Conclusão de Curso. 79 f. (Licenciatura em Filosofia) – Instituto Salesiano de Filosofia, Recife, 1998.</w:t>
      </w:r>
    </w:p>
    <w:p w:rsidR="00000000" w:rsidDel="00000000" w:rsidP="00000000" w:rsidRDefault="00000000" w:rsidRPr="00000000" w14:paraId="00000036">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Trabalho apresentado em eventos</w:t>
      </w:r>
    </w:p>
    <w:p w:rsidR="00000000" w:rsidDel="00000000" w:rsidP="00000000" w:rsidRDefault="00000000" w:rsidRPr="00000000" w14:paraId="0000003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RAMPAZZO, Lino. A formulação do conceito de pessoa no IV e V século e sua atual aplicação na Bioética e no Biodireito. In: CONGRESSO NACIONAL DO CONPEDI, 18, 2009, São Paulo, </w:t>
      </w:r>
      <w:r w:rsidDel="00000000" w:rsidR="00000000" w:rsidRPr="00000000">
        <w:rPr>
          <w:rFonts w:ascii="Times New Roman" w:cs="Times New Roman" w:eastAsia="Times New Roman" w:hAnsi="Times New Roman"/>
          <w:b w:val="1"/>
          <w:sz w:val="24"/>
          <w:szCs w:val="24"/>
          <w:rtl w:val="0"/>
        </w:rPr>
        <w:t xml:space="preserve">Anais do XVIII Congresso Nacional do CONPEDI</w:t>
      </w:r>
      <w:r w:rsidDel="00000000" w:rsidR="00000000" w:rsidRPr="00000000">
        <w:rPr>
          <w:rFonts w:ascii="Times New Roman" w:cs="Times New Roman" w:eastAsia="Times New Roman" w:hAnsi="Times New Roman"/>
          <w:sz w:val="24"/>
          <w:szCs w:val="24"/>
          <w:rtl w:val="0"/>
        </w:rPr>
        <w:t xml:space="preserve">. São Paulo: FMU; Florianópolis: Fundação Boiteux. 1 CD-ROM. ISBN: 978-85-7840-029-3.</w:t>
      </w:r>
    </w:p>
    <w:p w:rsidR="00000000" w:rsidDel="00000000" w:rsidP="00000000" w:rsidRDefault="00000000" w:rsidRPr="00000000" w14:paraId="0000003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numPr>
          <w:ilvl w:val="0"/>
          <w:numId w:val="7"/>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Artigos em jornais</w:t>
      </w:r>
    </w:p>
    <w:p w:rsidR="00000000" w:rsidDel="00000000" w:rsidP="00000000" w:rsidRDefault="00000000" w:rsidRPr="00000000" w14:paraId="0000003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OTTA, Lu Aiko. Parcela do tesouro nos empréstimos do BNDES cresce 566 % em oito anos. </w:t>
      </w:r>
      <w:r w:rsidDel="00000000" w:rsidR="00000000" w:rsidRPr="00000000">
        <w:rPr>
          <w:rFonts w:ascii="Times New Roman" w:cs="Times New Roman" w:eastAsia="Times New Roman" w:hAnsi="Times New Roman"/>
          <w:b w:val="1"/>
          <w:sz w:val="24"/>
          <w:szCs w:val="24"/>
          <w:rtl w:val="0"/>
        </w:rPr>
        <w:t xml:space="preserve">O Estado de S. Paulo</w:t>
      </w:r>
      <w:r w:rsidDel="00000000" w:rsidR="00000000" w:rsidRPr="00000000">
        <w:rPr>
          <w:rFonts w:ascii="Times New Roman" w:cs="Times New Roman" w:eastAsia="Times New Roman" w:hAnsi="Times New Roman"/>
          <w:sz w:val="24"/>
          <w:szCs w:val="24"/>
          <w:rtl w:val="0"/>
        </w:rPr>
        <w:t xml:space="preserve">, São Paulo, ano 131, n. 42656, 1 ago. 2010. Economia &amp; Negócios, p. B1.</w:t>
      </w:r>
    </w:p>
    <w:p w:rsidR="00000000" w:rsidDel="00000000" w:rsidP="00000000" w:rsidRDefault="00000000" w:rsidRPr="00000000" w14:paraId="0000003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Artigos em revistas</w:t>
      </w:r>
    </w:p>
    <w:p w:rsidR="00000000" w:rsidDel="00000000" w:rsidP="00000000" w:rsidRDefault="00000000" w:rsidRPr="00000000" w14:paraId="0000003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GAZIAUX, Eric. A violência: percurso de ética fundamental. </w:t>
      </w:r>
      <w:r w:rsidDel="00000000" w:rsidR="00000000" w:rsidRPr="00000000">
        <w:rPr>
          <w:rFonts w:ascii="Times New Roman" w:cs="Times New Roman" w:eastAsia="Times New Roman" w:hAnsi="Times New Roman"/>
          <w:b w:val="1"/>
          <w:sz w:val="24"/>
          <w:szCs w:val="24"/>
          <w:rtl w:val="0"/>
        </w:rPr>
        <w:t xml:space="preserve">Revista de cultura teológica</w:t>
      </w:r>
      <w:r w:rsidDel="00000000" w:rsidR="00000000" w:rsidRPr="00000000">
        <w:rPr>
          <w:rFonts w:ascii="Times New Roman" w:cs="Times New Roman" w:eastAsia="Times New Roman" w:hAnsi="Times New Roman"/>
          <w:sz w:val="24"/>
          <w:szCs w:val="24"/>
          <w:rtl w:val="0"/>
        </w:rPr>
        <w:t xml:space="preserve">, São Paulo, v. 12, n. 46, p. 9-34, jan./mar. 2004.</w:t>
      </w:r>
    </w:p>
    <w:p w:rsidR="00000000" w:rsidDel="00000000" w:rsidP="00000000" w:rsidRDefault="00000000" w:rsidRPr="00000000" w14:paraId="0000003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DOCUMENTOS JURÍDICOS</w:t>
      </w:r>
    </w:p>
    <w:p w:rsidR="00000000" w:rsidDel="00000000" w:rsidP="00000000" w:rsidRDefault="00000000" w:rsidRPr="00000000" w14:paraId="0000004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numPr>
          <w:ilvl w:val="0"/>
          <w:numId w:val="9"/>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Legislação</w:t>
      </w:r>
    </w:p>
    <w:p w:rsidR="00000000" w:rsidDel="00000000" w:rsidP="00000000" w:rsidRDefault="00000000" w:rsidRPr="00000000" w14:paraId="0000004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BRASIL. [Constituição (1988)]. </w:t>
      </w:r>
      <w:r w:rsidDel="00000000" w:rsidR="00000000" w:rsidRPr="00000000">
        <w:rPr>
          <w:rFonts w:ascii="Times New Roman" w:cs="Times New Roman" w:eastAsia="Times New Roman" w:hAnsi="Times New Roman"/>
          <w:b w:val="1"/>
          <w:sz w:val="24"/>
          <w:szCs w:val="24"/>
          <w:rtl w:val="0"/>
        </w:rPr>
        <w:t xml:space="preserve">Constituição da República Federativa do Brasil</w:t>
      </w:r>
      <w:r w:rsidDel="00000000" w:rsidR="00000000" w:rsidRPr="00000000">
        <w:rPr>
          <w:rFonts w:ascii="Times New Roman" w:cs="Times New Roman" w:eastAsia="Times New Roman" w:hAnsi="Times New Roman"/>
          <w:sz w:val="24"/>
          <w:szCs w:val="24"/>
          <w:rtl w:val="0"/>
        </w:rPr>
        <w:t xml:space="preserve">. 31. ed. São Paulo: Saraiva, 2003.</w:t>
      </w:r>
    </w:p>
    <w:p w:rsidR="00000000" w:rsidDel="00000000" w:rsidP="00000000" w:rsidRDefault="00000000" w:rsidRPr="00000000" w14:paraId="0000004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BRASIL. [Constituição (1989)]. </w:t>
      </w:r>
      <w:r w:rsidDel="00000000" w:rsidR="00000000" w:rsidRPr="00000000">
        <w:rPr>
          <w:rFonts w:ascii="Times New Roman" w:cs="Times New Roman" w:eastAsia="Times New Roman" w:hAnsi="Times New Roman"/>
          <w:b w:val="1"/>
          <w:sz w:val="24"/>
          <w:szCs w:val="24"/>
          <w:rtl w:val="0"/>
        </w:rPr>
        <w:t xml:space="preserve">Proposta de emenda à Constituição 2007</w:t>
      </w:r>
      <w:r w:rsidDel="00000000" w:rsidR="00000000" w:rsidRPr="00000000">
        <w:rPr>
          <w:rFonts w:ascii="Times New Roman" w:cs="Times New Roman" w:eastAsia="Times New Roman" w:hAnsi="Times New Roman"/>
          <w:sz w:val="24"/>
          <w:szCs w:val="24"/>
          <w:rtl w:val="0"/>
        </w:rPr>
        <w:t xml:space="preserve">. Disponível em: http://www.planaldo.gov.br/ccivil_03/Projetos/quadro_Pec/2007.htm. Acesso em: 26 jul. 2007.</w:t>
      </w:r>
    </w:p>
    <w:p w:rsidR="00000000" w:rsidDel="00000000" w:rsidP="00000000" w:rsidRDefault="00000000" w:rsidRPr="00000000" w14:paraId="0000004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BRASIL. </w:t>
      </w:r>
      <w:r w:rsidDel="00000000" w:rsidR="00000000" w:rsidRPr="00000000">
        <w:rPr>
          <w:rFonts w:ascii="Times New Roman" w:cs="Times New Roman" w:eastAsia="Times New Roman" w:hAnsi="Times New Roman"/>
          <w:b w:val="1"/>
          <w:sz w:val="24"/>
          <w:szCs w:val="24"/>
          <w:rtl w:val="0"/>
        </w:rPr>
        <w:t xml:space="preserve">Código civil</w:t>
      </w:r>
      <w:r w:rsidDel="00000000" w:rsidR="00000000" w:rsidRPr="00000000">
        <w:rPr>
          <w:rFonts w:ascii="Times New Roman" w:cs="Times New Roman" w:eastAsia="Times New Roman" w:hAnsi="Times New Roman"/>
          <w:sz w:val="24"/>
          <w:szCs w:val="24"/>
          <w:rtl w:val="0"/>
        </w:rPr>
        <w:t xml:space="preserve">. 55. ed. São Paulo: Saraiva, 2004.</w:t>
      </w:r>
    </w:p>
    <w:p w:rsidR="00000000" w:rsidDel="00000000" w:rsidP="00000000" w:rsidRDefault="00000000" w:rsidRPr="00000000" w14:paraId="0000004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BRASIL. Lei nº 11.474, de 15 de maio de 2007. </w:t>
      </w:r>
      <w:r w:rsidDel="00000000" w:rsidR="00000000" w:rsidRPr="00000000">
        <w:rPr>
          <w:rFonts w:ascii="Times New Roman" w:cs="Times New Roman" w:eastAsia="Times New Roman" w:hAnsi="Times New Roman"/>
          <w:b w:val="1"/>
          <w:sz w:val="24"/>
          <w:szCs w:val="24"/>
          <w:rtl w:val="0"/>
        </w:rPr>
        <w:t xml:space="preserve">Diário Oficial da União</w:t>
      </w:r>
      <w:r w:rsidDel="00000000" w:rsidR="00000000" w:rsidRPr="00000000">
        <w:rPr>
          <w:rFonts w:ascii="Times New Roman" w:cs="Times New Roman" w:eastAsia="Times New Roman" w:hAnsi="Times New Roman"/>
          <w:sz w:val="24"/>
          <w:szCs w:val="24"/>
          <w:rtl w:val="0"/>
        </w:rPr>
        <w:t xml:space="preserve">, Brasília, DF, ano 144, n. 93, 16 maio 2007. Seção I, p.1.</w:t>
      </w:r>
    </w:p>
    <w:p w:rsidR="00000000" w:rsidDel="00000000" w:rsidP="00000000" w:rsidRDefault="00000000" w:rsidRPr="00000000" w14:paraId="0000004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BRASIL. </w:t>
      </w:r>
      <w:r w:rsidDel="00000000" w:rsidR="00000000" w:rsidRPr="00000000">
        <w:rPr>
          <w:rFonts w:ascii="Times New Roman" w:cs="Times New Roman" w:eastAsia="Times New Roman" w:hAnsi="Times New Roman"/>
          <w:b w:val="1"/>
          <w:sz w:val="24"/>
          <w:szCs w:val="24"/>
          <w:rtl w:val="0"/>
        </w:rPr>
        <w:t xml:space="preserve">Medida Provisória nº 2.230</w:t>
      </w:r>
      <w:r w:rsidDel="00000000" w:rsidR="00000000" w:rsidRPr="00000000">
        <w:rPr>
          <w:rFonts w:ascii="Times New Roman" w:cs="Times New Roman" w:eastAsia="Times New Roman" w:hAnsi="Times New Roman"/>
          <w:sz w:val="24"/>
          <w:szCs w:val="24"/>
          <w:rtl w:val="0"/>
        </w:rPr>
        <w:t xml:space="preserve">, de 08 de setembro de 2001. Disponível em: https://www.planalto.gov.br/ccivil_03/MPV/Antigas_2001/2230.htm. Acesso em: 12 set. 2008.</w:t>
      </w:r>
    </w:p>
    <w:p w:rsidR="00000000" w:rsidDel="00000000" w:rsidP="00000000" w:rsidRDefault="00000000" w:rsidRPr="00000000" w14:paraId="0000004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numPr>
          <w:ilvl w:val="0"/>
          <w:numId w:val="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Jurisprudência</w:t>
      </w:r>
    </w:p>
    <w:p w:rsidR="00000000" w:rsidDel="00000000" w:rsidP="00000000" w:rsidRDefault="00000000" w:rsidRPr="00000000" w14:paraId="0000004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BRASIL. Supremo Tribunal Federal. Súmula n° 726. Para efeito de aposentadoria especial de professores, não se computa o tempo de serviço prestado fora da sala de aula.</w:t>
      </w:r>
      <w:r w:rsidDel="00000000" w:rsidR="00000000" w:rsidRPr="00000000">
        <w:rPr>
          <w:rFonts w:ascii="Times New Roman" w:cs="Times New Roman" w:eastAsia="Times New Roman" w:hAnsi="Times New Roman"/>
          <w:b w:val="1"/>
          <w:sz w:val="24"/>
          <w:szCs w:val="24"/>
          <w:rtl w:val="0"/>
        </w:rPr>
        <w:t xml:space="preserve"> Diário da Justiça</w:t>
      </w:r>
      <w:r w:rsidDel="00000000" w:rsidR="00000000" w:rsidRPr="00000000">
        <w:rPr>
          <w:rFonts w:ascii="Times New Roman" w:cs="Times New Roman" w:eastAsia="Times New Roman" w:hAnsi="Times New Roman"/>
          <w:sz w:val="24"/>
          <w:szCs w:val="24"/>
          <w:rtl w:val="0"/>
        </w:rPr>
        <w:t xml:space="preserve">, de 09 de dezembro de 2003. Disponível em: http.z/www.stf.jus.br/portal/jurisprudencia/listarJurisprudencia.asp?s1=726.NUME. %20S.FLSV. &amp;base= basecSumulas. Acesso em: 27 out. 2009.</w:t>
      </w:r>
    </w:p>
    <w:p w:rsidR="00000000" w:rsidDel="00000000" w:rsidP="00000000" w:rsidRDefault="00000000" w:rsidRPr="00000000" w14:paraId="0000004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RIO GRANDE DO SUL. Tribunal de Justiça. </w:t>
      </w:r>
      <w:r w:rsidDel="00000000" w:rsidR="00000000" w:rsidRPr="00000000">
        <w:rPr>
          <w:rFonts w:ascii="Times New Roman" w:cs="Times New Roman" w:eastAsia="Times New Roman" w:hAnsi="Times New Roman"/>
          <w:b w:val="1"/>
          <w:sz w:val="24"/>
          <w:szCs w:val="24"/>
          <w:rtl w:val="0"/>
        </w:rPr>
        <w:t xml:space="preserve">Apelação cível nº 70004670071</w:t>
      </w:r>
      <w:r w:rsidDel="00000000" w:rsidR="00000000" w:rsidRPr="00000000">
        <w:rPr>
          <w:rFonts w:ascii="Times New Roman" w:cs="Times New Roman" w:eastAsia="Times New Roman" w:hAnsi="Times New Roman"/>
          <w:sz w:val="24"/>
          <w:szCs w:val="24"/>
          <w:rtl w:val="0"/>
        </w:rPr>
        <w:t xml:space="preserve">, da 2.ª Câmara Cível. Apelante: L. C. S. Apelado: A. L. R. de M. Relator: Dr. Ney Wiedemann Neto. Porto Alegre, 20 de novembro de 2002. Disponível em: http://tj.rs.gov.br/site_php/jprud2/resultado.php. Acesso em: 12 set. 2012.</w:t>
      </w:r>
    </w:p>
    <w:p w:rsidR="00000000" w:rsidDel="00000000" w:rsidP="00000000" w:rsidRDefault="00000000" w:rsidRPr="00000000" w14:paraId="0000005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spacing w:line="240" w:lineRule="auto"/>
        <w:rPr/>
      </w:pPr>
      <w:r w:rsidDel="00000000" w:rsidR="00000000" w:rsidRPr="00000000">
        <w:rPr>
          <w:rFonts w:ascii="Times New Roman" w:cs="Times New Roman" w:eastAsia="Times New Roman" w:hAnsi="Times New Roman"/>
          <w:sz w:val="24"/>
          <w:szCs w:val="24"/>
          <w:rtl w:val="0"/>
        </w:rPr>
        <w:t xml:space="preserve">CONSELHO PLENO DO CONSELHO FEDERAL DA ORDEM DOS ADVOGADOS DO BRSIL – COP/CFOAB. </w:t>
      </w:r>
      <w:r w:rsidDel="00000000" w:rsidR="00000000" w:rsidRPr="00000000">
        <w:rPr>
          <w:rFonts w:ascii="Times New Roman" w:cs="Times New Roman" w:eastAsia="Times New Roman" w:hAnsi="Times New Roman"/>
          <w:b w:val="1"/>
          <w:sz w:val="24"/>
          <w:szCs w:val="24"/>
          <w:rtl w:val="0"/>
        </w:rPr>
        <w:t xml:space="preserve">Súmula 8</w:t>
      </w:r>
      <w:r w:rsidDel="00000000" w:rsidR="00000000" w:rsidRPr="00000000">
        <w:rPr>
          <w:rFonts w:ascii="Times New Roman" w:cs="Times New Roman" w:eastAsia="Times New Roman" w:hAnsi="Times New Roman"/>
          <w:sz w:val="24"/>
          <w:szCs w:val="24"/>
          <w:rtl w:val="0"/>
        </w:rPr>
        <w:t xml:space="preserve">. Compete exclusivamente ao Pleno do Conselho Seccional o julgamento dos processos de exclusão, mediante a manifestação favorável de dois terços dos seus membros, após a necessária instrução e julgamento dos referidos processos perante o Tribunal de Ética e Disciplina (art. 38, parágrafo único, c/c art. 70, § 1º, ambos da Lei 8.906/94 – Estatuto da Advocacia e da OAB (LGL\1994\58)). Disponível em: https://www.revistadostribunais.com.br/maf/app/widget/document?docguid=Ia3bbfaf04c6e1 1e9a6b5010000000000. Acesso em: 04 abr. 2019.</w:t>
      </w:r>
      <w:r w:rsidDel="00000000" w:rsidR="00000000" w:rsidRPr="00000000">
        <w:rPr>
          <w:rtl w:val="0"/>
        </w:rPr>
      </w:r>
    </w:p>
    <w:sectPr>
      <w:headerReference r:id="rId7" w:type="default"/>
      <w:pgSz w:h="16834" w:w="11909"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53">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Tamanho 14; negrito; fonte Times New Roman; espaçamento 1,5; alinhamento centralizado.</w:t>
      </w:r>
    </w:p>
  </w:footnote>
  <w:footnote w:id="1">
    <w:p w:rsidR="00000000" w:rsidDel="00000000" w:rsidP="00000000" w:rsidRDefault="00000000" w:rsidRPr="00000000" w14:paraId="00000054">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Tamanho 12; itálico; fonte Times News Roman; espaçamento simples; alinhamento à direita. OBS: em caso de coautoria os nomes devem estar um abaixo do outro, dispostos em ordem alfabética.</w:t>
      </w:r>
    </w:p>
  </w:footnote>
  <w:footnote w:id="2">
    <w:p w:rsidR="00000000" w:rsidDel="00000000" w:rsidP="00000000" w:rsidRDefault="00000000" w:rsidRPr="00000000" w14:paraId="00000055">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Na versão IDENTIFICADA, nota de rodapé contendo: Nome completo. Titulação do autor. Instituição de origem. E-mail para contato. CV Lattes (se houver).</w:t>
      </w:r>
    </w:p>
  </w:footnote>
  <w:footnote w:id="3">
    <w:p w:rsidR="00000000" w:rsidDel="00000000" w:rsidP="00000000" w:rsidRDefault="00000000" w:rsidRPr="00000000" w14:paraId="00000056">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Tamanho 10, fonte Times New Roman, espaçamento simples, alinhamento centralizado, recuo de 4cm da margem esquerda.</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ind w:left="-1417.3228346456694" w:right="-1440" w:firstLine="0"/>
      <w:rPr/>
    </w:pPr>
    <w:r w:rsidDel="00000000" w:rsidR="00000000" w:rsidRPr="00000000">
      <w:rPr/>
      <w:drawing>
        <wp:anchor allowOverlap="1" behindDoc="0" distB="114300" distT="114300" distL="114300" distR="114300" hidden="0" layoutInCell="1" locked="0" relativeHeight="0" simplePos="0">
          <wp:simplePos x="0" y="0"/>
          <wp:positionH relativeFrom="page">
            <wp:posOffset>46200</wp:posOffset>
          </wp:positionH>
          <wp:positionV relativeFrom="page">
            <wp:posOffset>-12248</wp:posOffset>
          </wp:positionV>
          <wp:extent cx="7469315" cy="1169537"/>
          <wp:effectExtent b="0" l="0" r="0" t="0"/>
          <wp:wrapNone/>
          <wp:docPr id="1" name="image1.png"/>
          <a:graphic>
            <a:graphicData uri="http://schemas.openxmlformats.org/drawingml/2006/picture">
              <pic:pic>
                <pic:nvPicPr>
                  <pic:cNvPr id="0" name="image1.png"/>
                  <pic:cNvPicPr preferRelativeResize="0"/>
                </pic:nvPicPr>
                <pic:blipFill>
                  <a:blip r:embed="rId1"/>
                  <a:srcRect b="88836" l="0" r="0" t="0"/>
                  <a:stretch>
                    <a:fillRect/>
                  </a:stretch>
                </pic:blipFill>
                <pic:spPr>
                  <a:xfrm>
                    <a:off x="0" y="0"/>
                    <a:ext cx="7469315" cy="1169537"/>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